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562" w:firstLineChars="200"/>
        <w:jc w:val="center"/>
        <w:rPr>
          <w:rFonts w:hint="default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昌吉回族自治州2024年初中学业水平考试语文模拟卷答案及评分标准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积累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有错别字扣1分，标点符号错误扣1分，字迹不工整扣1分。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．(3分)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【解析】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em w:val="dot"/>
          <w:lang w:val="en-US" w:eastAsia="zh-CN"/>
          <w14:textFill>
            <w14:solidFill>
              <w14:schemeClr w14:val="tx1"/>
            </w14:solidFill>
          </w14:textFill>
        </w:rPr>
        <w:t>倔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强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（ju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é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．(3分)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【解析】 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A.狂澜 ； B.泄气； D.振聋发聩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．(3分)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【解析】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A选项“异想天开”形容想法</w:t>
      </w:r>
      <w:r>
        <w:rPr>
          <w:rFonts w:ascii="宋体" w:hAnsi="宋体" w:eastAsia="宋体" w:cs="宋体"/>
          <w:sz w:val="24"/>
          <w:szCs w:val="24"/>
        </w:rPr>
        <w:t>荒唐离奇，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不切实际，含贬义。B 选项“身临其境”的意思是亲自到了那个境地，获得切身感受。不符合语境。C选项“强聒不舍”的意思是唠唠叨叨说个没完，不符合语境；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“不折不挠”的意思是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在压力和困难面前不屈服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符合语境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5．(3分)C 【解析】《巴黎圣母院》是雨果代表作。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6．(8分)【答案】  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关关雎鸠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 xml:space="preserve"> 2.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学而不思则罔  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竹杖芒鞋轻胜马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日暮乡关何处是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沉舟侧畔千帆过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,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病树前头万木春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6.日出而林霏开，云归而岩穴暝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【解析】本题考查对名篇名句和古诗文的识记理解。默写题作答时，一要透彻理解诗文的内容；二要认真审题，找出符合题意的诗文句子；三答题内容要准确，做到不添字，不漏字，不错字。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活动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(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7．(3分).国家网信办指导短视频平台试点防沉迷系统。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8．(3分)示例：小阳，抖音上有许多是传播和弘扬中国传统文化的视频，使我们了解中国传统文化的重要渠道，还是值得去看一看的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,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你同意我的观点吗？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9.(3分)示例：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柳暗花明(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。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出自陆游《游山西村》寓意(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：在困境坚持，终会达到豁然开朗的境界(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、阅读理解 (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10．(3分)C【解析】A选项“三年清知府，十万雪花银”为王辉的信条；B选项“周进中举前后”错误，应为“范进中举前后”；D选项“博古通今，对海洋生物做了详细介绍，使读者认识了许多海洋生物”的是阿龙纳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11．(3分)A 【解析】本题考查名著内容。这四个与林冲相关的故事情节有对应的时间顺序，首先是林冲误入白虎堂，之后被押开封府，受高太尉的陷害，在柴进庄上与洪教头比武获胜。几经周折后被分到看守草料场的工作。因大雪压塌住处，无奈到一个破旧的山神庙暂住一宿。正因此凑巧听见门外陆谦和富安的谈话，得知自己被陷害，差点被害死。恼怒中，林冲终于爆发，提枪戳死两人。在林冲雪夜上梁山后，王伦百般为难，幸好是柴进推荐的林冲才得以留在梁山。在晁盖上梁山时，王伦又相拒，恐自己统领之位被夺，林冲早就不满，再加上吴用从旁蛊惑，终于在晁盖等告辞时，火并王伦，林冲拥晁盖为主。所以顺序为：④②③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12．(4分)示例1:孙悟空：作为中国文学作品中最有反抗性的形象代表，孙悟空不仅反抗强权，更早就反抗命运。它本是一石猴，当了美猴王之后，想到这快活日子不可能永远持续下去，要听从命运摆布，死后受阎王约束，就听从老猴的话去寻求长生术。从五指山出来之后，他选择跟唐僧西去取经，就是反抗当猴妖的命运。他的求仙求成佛都是对既定命运的反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祥子：祥子也有反抗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,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相对他来说强权的一面：为了赚钱再买辆车，祥子为杨宅拉起了包月，他本应该一直忍气吞声，但他不世忍受侮辱，愤怒地将钱摔在杨太太的脸上。这段精彩的描写，突出了祥子善良坚忍的外表下也蕴藏着对强权的反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简·爱：</w:t>
      </w:r>
      <w:r>
        <w:rPr>
          <w:rFonts w:ascii="宋体" w:hAnsi="宋体" w:eastAsia="宋体" w:cs="宋体"/>
          <w:sz w:val="24"/>
          <w:szCs w:val="24"/>
        </w:rPr>
        <w:t>面对家庭和社会的不公和欺凌，简爱选择了勇敢地反抗。例如，当她被表兄约翰·里德用书砸得头破血流时，她将一个重盒子扔向他，表达了自己的愤怒和反抗。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示例2:孙悟空：玉帝封他做弼马温，他嫌官小，打回花果山。玉帝派托塔李天王剿灭，大败而回。天庭要举办蟠桃会，悟空没有被王母邀请，再次发怒。他定住七仙女，调弄赤脚大仙的脚，搅乱蟠桃会，偷吃仙酒、仙肴、仙丹，大闹天宫，这就是对玉皇大帝所代表的强权的反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祥子：在第一辆车被大兵抢走后，祥子并没有失去对生活的信心，而是与命运抗争，到人和车厂租车后，拼命拉车，忍受着生活和精神上的痛苦，在烈日和暴雨下艰难拉车，为买第二辆车拼命赚钱。这是祥子对命运的反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简·爱：</w:t>
      </w:r>
      <w:r>
        <w:rPr>
          <w:rFonts w:ascii="宋体" w:hAnsi="宋体" w:eastAsia="宋体" w:cs="宋体"/>
          <w:sz w:val="24"/>
          <w:szCs w:val="24"/>
        </w:rPr>
        <w:t>在舅家遭受不公时，简爱选择了勇敢地反抗，让灵魂站起来。她深知一个人的尊严和自由不应被任何人侵犯和践踏。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13．(3分)A【解析】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“割”是“分开、分割”的意思，写泰山将山南山北的阳光斩断，写出泰山的高大巍峨。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14．(4分)2；肃杀、凄寒；即使；逆流而上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center"/>
        <w:rPr>
          <w:rFonts w:hint="default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15．(4分)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【解析】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乙写春冬三峡江水清澈，草木茂盛，郁郁葱葱。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16．(3分)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【解析】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“或王命急宣”几句运用了夸张的修辞手法，写船只航速日行千里，侧面写出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江流之急。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17．(3分)D【解析】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根据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句意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和句式结构断句。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18．(2分)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被瀑布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雄奇壮观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水雾弥漫，轻柔细密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的景观所吸引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19．(2分)B【解析】第③段论述了重拾母语自信是每个国人应正视的问题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20．(4分)母语的天然情感（1分）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汉语对世界的影响（1分）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近现代我们对汉语的自信产生动摇（1分），最后指出重拾汉语母语自信的必要性（1分）。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21．材料二可以用作本文第①段的论据。因为第①段强调的是“母语通常是指一个人所属民族的群体语言，是一个民族最为鲜明的符号标志，他能把一些人凝聚为一个共同体”；而材料二也强调的是通过一种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文字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，一个人类群体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中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前人将知识和智慧传给后人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，有了不断传承的只知识文化，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才得以凝聚成民族；两个观点相吻合，故放在第①段之后。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22．(4分)结合文本内容，言之有理即可。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23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（3分）坚持赴约，受伤严重毫不在意（1分）； 殚精竭虑，寻求经费支持（1分）；书籍出版，“老谢”喜笑颜开（1分）。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24.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（3分）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A：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运用外貌描写、神态描写和动作描写（1分），形象刻画出老谢校阅稿件时的专注认真（1分），体现出了他对工作的敬业态度和他忘我工作的状态（1分）。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200" w:firstLineChars="500"/>
        <w:textAlignment w:val="auto"/>
        <w:rPr>
          <w:rFonts w:hint="default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B: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 运用外貌描写、和动作描写（1分）形象刻画出老谢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因不顾天黑坚持赴约，不慎摔倒的样子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（1分）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体现出了他对工作的敬业态度和他忘我工作的状态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25.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（4分）无论处于何种人生阶段（1分），都能散发出自己的能量，贡献自己的价值（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如同老战士一般，即使年岁已高，却依然坚持编写民间故事，为当地文化传承做贡献（1分）。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lang w:val="en-US" w:eastAsia="zh-CN" w:bidi="ar-SA"/>
        </w:rPr>
        <w:t>26.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（4分）示例：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怀念一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位</w:t>
      </w:r>
      <w:r>
        <w:rPr>
          <w:rFonts w:hint="default" w:ascii="宋体" w:hAnsi="宋体" w:eastAsia="宋体" w:cs="宋体"/>
          <w:sz w:val="24"/>
          <w:szCs w:val="24"/>
          <w:lang w:val="en-US" w:eastAsia="zh-CN" w:bidi="ar-SA"/>
        </w:rPr>
        <w:t>志愿军老兵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（2分）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，题目交代了主要人物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（1分）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，“怀念”二字奠定文章感情基调，设置悬念，激发读者阅读兴趣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（1分）</w:t>
      </w:r>
      <w:r>
        <w:rPr>
          <w:rFonts w:hint="eastAsia" w:ascii="宋体" w:hAnsi="宋体" w:cs="宋体"/>
          <w:sz w:val="24"/>
          <w:szCs w:val="24"/>
          <w:lang w:val="en-US" w:eastAsia="zh-CN" w:bidi="ar-SA"/>
        </w:rPr>
        <w:t>。（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从内容结构、表达效果三方面答题）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Calibri" w:hAnsi="Calibri" w:eastAsia="宋体" w:cs="Calibri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Calibri" w:hAnsi="Calibri" w:eastAsia="宋体" w:cs="Calibri"/>
          <w:b/>
          <w:bCs/>
          <w:sz w:val="28"/>
          <w:szCs w:val="28"/>
          <w:u w:val="none"/>
          <w:lang w:val="en-US" w:eastAsia="zh-CN"/>
        </w:rPr>
        <w:t>四、作文（共60分）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Calibri" w:hAnsi="Calibri" w:eastAsia="宋体" w:cs="Calibri"/>
          <w:sz w:val="24"/>
          <w:szCs w:val="24"/>
          <w:u w:val="none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u w:val="none"/>
          <w:lang w:val="en-US" w:eastAsia="zh-CN"/>
        </w:rPr>
        <w:t>27.评分标准</w:t>
      </w:r>
    </w:p>
    <w:tbl>
      <w:tblPr>
        <w:tblStyle w:val="7"/>
        <w:tblW w:w="0" w:type="auto"/>
        <w:tblCellSpacing w:w="15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8"/>
        <w:gridCol w:w="1734"/>
        <w:gridCol w:w="2799"/>
        <w:gridCol w:w="1592"/>
        <w:gridCol w:w="1812"/>
        <w:gridCol w:w="17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一类卷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9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二类卷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5-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2分）</w:t>
            </w:r>
          </w:p>
        </w:tc>
        <w:tc>
          <w:tcPr>
            <w:tcW w:w="16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三类卷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7-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4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四类卷（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8-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6分）</w:t>
            </w:r>
          </w:p>
        </w:tc>
        <w:tc>
          <w:tcPr>
            <w:tcW w:w="178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五类卷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（0-17分）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64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评分细则</w:t>
            </w:r>
          </w:p>
        </w:tc>
        <w:tc>
          <w:tcPr>
            <w:tcW w:w="176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①具备ABC三项条件的，评一类下（43-45分）。</w:t>
            </w:r>
          </w:p>
        </w:tc>
        <w:tc>
          <w:tcPr>
            <w:tcW w:w="29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以38分为基准分，适当浮动：</w:t>
            </w:r>
          </w:p>
        </w:tc>
        <w:tc>
          <w:tcPr>
            <w:tcW w:w="16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以30分为基准分，适当浮动：</w:t>
            </w:r>
          </w:p>
        </w:tc>
        <w:tc>
          <w:tcPr>
            <w:tcW w:w="184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以22分为基准分，适当浮动：</w:t>
            </w:r>
          </w:p>
        </w:tc>
        <w:tc>
          <w:tcPr>
            <w:tcW w:w="178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以13分为基准分，适当浮动: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64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②立意深、构思巧、语言生动形象的，评满分；</w:t>
            </w:r>
          </w:p>
        </w:tc>
        <w:tc>
          <w:tcPr>
            <w:tcW w:w="29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①具备B项和另一项条件，其余一项达到三类卷标准的，获得基准分；</w:t>
            </w:r>
          </w:p>
        </w:tc>
        <w:tc>
          <w:tcPr>
            <w:tcW w:w="16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①基本具备ABC三项条件的，获得基准分；</w:t>
            </w:r>
          </w:p>
        </w:tc>
        <w:tc>
          <w:tcPr>
            <w:tcW w:w="184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①凡属ABC三项之一者，评为四类卷，获得基准分；</w:t>
            </w:r>
          </w:p>
        </w:tc>
        <w:tc>
          <w:tcPr>
            <w:tcW w:w="178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①凡属ABC三项之一者，评为五类卷，获得基准分；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64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具备其中两项条件的，评一类上（48-49分）；</w:t>
            </w:r>
          </w:p>
        </w:tc>
        <w:tc>
          <w:tcPr>
            <w:tcW w:w="29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②具备ABC三项条件的，酌情加分；或材料新鲜，或立意新颖，或结构新巧，可评为二类上；</w:t>
            </w:r>
          </w:p>
        </w:tc>
        <w:tc>
          <w:tcPr>
            <w:tcW w:w="16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②其中B项较好的，酌情加分；</w:t>
            </w:r>
          </w:p>
        </w:tc>
        <w:tc>
          <w:tcPr>
            <w:tcW w:w="184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②另两项较好的，酌情加分；</w:t>
            </w:r>
          </w:p>
        </w:tc>
        <w:tc>
          <w:tcPr>
            <w:tcW w:w="178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②其他两项尚好，酌情加分；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64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具备其中一项条件的，评一类中（46-47分）。</w:t>
            </w:r>
          </w:p>
        </w:tc>
        <w:tc>
          <w:tcPr>
            <w:tcW w:w="29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③具备B项条件，而另两项只达到三类卷标准的，酌情减分。</w:t>
            </w:r>
          </w:p>
        </w:tc>
        <w:tc>
          <w:tcPr>
            <w:tcW w:w="16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③另有某些缺点的，酌情减分。</w:t>
            </w:r>
          </w:p>
        </w:tc>
        <w:tc>
          <w:tcPr>
            <w:tcW w:w="184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③兼有ABC两项以上情况的，酌情减分。</w:t>
            </w:r>
          </w:p>
        </w:tc>
        <w:tc>
          <w:tcPr>
            <w:tcW w:w="178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③兼有ABC两项以上情况的，酌情减分。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0511" w:type="dxa"/>
            <w:gridSpan w:val="6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说明：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1．漏写题目扣1分。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2．错别字每3个扣1分，重现不计，最多扣2分。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3．字迹工整的加1—2分；字迹潦草，难以辨认的酌情扣1—3分。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4．字数不足600字，每少50字扣1分；不足400字，降一等。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5．凡认为有严重错误的答卷，评卷领导小组研究处理</w:t>
            </w:r>
          </w:p>
        </w:tc>
      </w:tr>
    </w:tbl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134" w:right="907" w:bottom="907" w:left="90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E1904"/>
    <w:rsid w:val="1D3473BE"/>
    <w:rsid w:val="2406290C"/>
    <w:rsid w:val="33337994"/>
    <w:rsid w:val="34D76A88"/>
    <w:rsid w:val="48A4086F"/>
    <w:rsid w:val="520722B1"/>
    <w:rsid w:val="54F43269"/>
    <w:rsid w:val="650C0591"/>
    <w:rsid w:val="6F161A8A"/>
    <w:rsid w:val="7D5C2925"/>
    <w:rsid w:val="7DAE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paragraph" w:styleId="11">
    <w:name w:val="List Paragraph"/>
    <w:basedOn w:val="1"/>
    <w:qFormat/>
    <w:uiPriority w:val="1"/>
    <w:pPr>
      <w:spacing w:before="107"/>
      <w:ind w:left="563" w:hanging="238"/>
    </w:pPr>
    <w:rPr>
      <w:rFonts w:ascii="宋体" w:hAnsi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2222</Words>
  <Characters>2344</Characters>
  <Paragraphs>96</Paragraphs>
  <TotalTime>2</TotalTime>
  <ScaleCrop>false</ScaleCrop>
  <LinksUpToDate>false</LinksUpToDate>
  <CharactersWithSpaces>2499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2020-09-02T04:56:00Z</dcterms:created>
  <dc:creator>天生无畏</dc:creator>
  <cp:lastModifiedBy>Administrator</cp:lastModifiedBy>
  <dcterms:modified xsi:type="dcterms:W3CDTF">2024-03-22T12:39:54Z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CBA4F93206EE416ABCD587937AFBE1F4</vt:lpwstr>
  </property>
</Properties>
</file>